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R4-2218621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Toulouse, France, November 14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 18,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Draft CR for HPUE for CA with PC2 on FDD carrier CA_n1A-n78A and CA_n3A-n78A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HPUE_FR1_FDD_NR_CADC_R18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2022-11-06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introduce PC2 on FDD carrier for CA_n1A-n78A and CA_n3A-n78A, related requirements were agreed in RAN4-104bis-e meeting (R4-2217121)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Includes </w:t>
            </w:r>
            <w:r>
              <w:rPr>
                <w:rFonts w:hint="eastAsia" w:eastAsia="宋体"/>
                <w:lang w:val="en-US" w:eastAsia="zh-CN"/>
              </w:rPr>
              <w:t>Tx and Rx requirements for DL_n1A-n78A_UL_n1A and DL_n3A-n78A_UL_n3A</w:t>
            </w:r>
            <w:r>
              <w:rPr>
                <w:rFonts w:hint="eastAsia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Relevant high power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</w:t>
            </w:r>
            <w:r>
              <w:rPr>
                <w:rFonts w:hint="eastAsia" w:eastAsia="宋体"/>
                <w:lang w:val="en-US" w:eastAsia="zh-CN"/>
              </w:rPr>
              <w:t>5A.3.1, 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===================Start of 1st changes=================</w:t>
      </w:r>
    </w:p>
    <w:p>
      <w:pPr>
        <w:pStyle w:val="5"/>
        <w:rPr>
          <w:bCs/>
        </w:rPr>
      </w:pPr>
      <w:bookmarkStart w:id="1" w:name="_Toc61367300"/>
      <w:bookmarkStart w:id="2" w:name="_Toc68230623"/>
      <w:bookmarkStart w:id="3" w:name="_Toc69084036"/>
      <w:bookmarkStart w:id="4" w:name="_Toc45888060"/>
      <w:bookmarkStart w:id="5" w:name="_Toc45888659"/>
      <w:bookmarkStart w:id="6" w:name="_Toc84413483"/>
      <w:bookmarkStart w:id="7" w:name="_Toc75467043"/>
      <w:bookmarkStart w:id="8" w:name="_Toc84404874"/>
      <w:bookmarkStart w:id="9" w:name="_Toc83580365"/>
      <w:bookmarkStart w:id="10" w:name="_Toc76718055"/>
      <w:bookmarkStart w:id="11" w:name="_Toc76509065"/>
      <w:bookmarkStart w:id="12" w:name="_Toc61372683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a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</w:t>
            </w:r>
            <w:r>
              <w:rPr>
                <w:rFonts w:hint="eastAsia" w:eastAsia="宋体"/>
                <w:lang w:val="en-US" w:eastAsia="zh-CN" w:bidi="ar"/>
              </w:rPr>
              <w:t>3</w:t>
            </w:r>
            <w:r>
              <w:rPr>
                <w:rFonts w:eastAsia="宋体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1B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CA_n3(2A)_BCS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CA_n3(2A)_BCS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</w:t>
            </w:r>
            <w:r>
              <w:rPr>
                <w:rFonts w:hint="eastAsia" w:eastAsia="宋体"/>
                <w:lang w:val="en-US" w:eastAsia="zh-CN" w:bidi="ar"/>
              </w:rPr>
              <w:t>3</w:t>
            </w:r>
            <w:r>
              <w:rPr>
                <w:rFonts w:eastAsia="宋体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</w:rPr>
              <w:t>_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bCs/>
                <w:sz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</w:t>
            </w:r>
            <w:r>
              <w:rPr>
                <w:rFonts w:hint="eastAsia"/>
                <w:szCs w:val="18"/>
                <w:lang w:val="en-US" w:eastAsia="zh-CN"/>
              </w:rPr>
              <w:t>(</w:t>
            </w:r>
            <w:r>
              <w:rPr>
                <w:szCs w:val="18"/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</w:rPr>
              <w:t>CA_n</w:t>
            </w:r>
            <w:r>
              <w:rPr>
                <w:rFonts w:hint="eastAsia" w:eastAsia="等线"/>
                <w:szCs w:val="18"/>
              </w:rPr>
              <w:t>1</w:t>
            </w:r>
            <w:r>
              <w:rPr>
                <w:rFonts w:eastAsia="等线"/>
                <w:szCs w:val="18"/>
              </w:rPr>
              <w:t>A-n77</w:t>
            </w:r>
            <w:r>
              <w:rPr>
                <w:rFonts w:hint="eastAsia" w:eastAsia="等线"/>
                <w:szCs w:val="18"/>
              </w:rPr>
              <w:t>(</w:t>
            </w:r>
            <w:r>
              <w:rPr>
                <w:rFonts w:eastAsia="等线"/>
                <w:szCs w:val="18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0" w:author="China Unicom" w:date="2022-11-06T19:11:53Z"/>
                <w:rFonts w:hint="default" w:eastAsia="宋体"/>
                <w:szCs w:val="18"/>
                <w:lang w:val="en-US" w:eastAsia="zh-CN"/>
              </w:rPr>
            </w:pPr>
            <w:ins w:id="1" w:author="China Unicom" w:date="2022-11-06T19:11:57Z">
              <w:r>
                <w:rPr>
                  <w:rFonts w:hint="eastAsia" w:eastAsia="宋体"/>
                  <w:szCs w:val="18"/>
                  <w:lang w:val="en-US" w:eastAsia="zh-CN"/>
                </w:rPr>
                <w:t>n</w:t>
              </w:r>
            </w:ins>
            <w:ins w:id="2" w:author="China Unicom" w:date="2022-11-06T19:11:58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  <w:ins w:id="3" w:author="China Unicom" w:date="2022-11-06T19:12:08Z">
              <w:r>
                <w:rPr>
                  <w:rFonts w:hint="eastAsia" w:eastAsia="宋体"/>
                  <w:szCs w:val="18"/>
                  <w:vertAlign w:val="superscript"/>
                  <w:lang w:val="en-US" w:eastAsia="zh-CN"/>
                  <w:rPrChange w:id="4" w:author="China Unicom" w:date="2022-11-06T19:12:14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7B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  <w:r>
              <w:rPr>
                <w:rFonts w:ascii="Arial" w:hAnsi="Arial" w:eastAsia="宋体"/>
                <w:sz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  <w:r>
              <w:rPr>
                <w:rFonts w:ascii="Arial" w:hAnsi="Arial" w:eastAsia="宋体"/>
                <w:sz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等线"/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" w:author="China Unicom" w:date="2022-11-06T19:12:34Z"/>
                <w:rFonts w:hint="default" w:eastAsia="宋体"/>
                <w:szCs w:val="18"/>
                <w:lang w:val="en-US" w:eastAsia="zh-CN"/>
              </w:rPr>
            </w:pPr>
            <w:ins w:id="6" w:author="China Unicom" w:date="2022-11-06T19:12:33Z">
              <w:r>
                <w:rPr>
                  <w:rFonts w:hint="eastAsia" w:eastAsia="宋体"/>
                  <w:szCs w:val="18"/>
                  <w:lang w:val="en-US" w:eastAsia="zh-CN"/>
                </w:rPr>
                <w:t>n3</w:t>
              </w:r>
            </w:ins>
            <w:ins w:id="7" w:author="China Unicom" w:date="2022-11-06T19:12:36Z">
              <w:r>
                <w:rPr>
                  <w:rFonts w:hint="eastAsia" w:eastAsia="宋体"/>
                  <w:szCs w:val="18"/>
                  <w:vertAlign w:val="superscript"/>
                  <w:lang w:val="en-US" w:eastAsia="zh-CN"/>
                  <w:rPrChange w:id="8" w:author="China Unicom" w:date="2022-11-06T19:12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hint="eastAsia" w:cs="Arial"/>
                <w:szCs w:val="18"/>
                <w:lang w:val="en-US" w:eastAsia="zh-CN"/>
              </w:rPr>
              <w:t>9</w:t>
            </w:r>
            <w:r>
              <w:rPr>
                <w:rFonts w:cs="Arial"/>
                <w:szCs w:val="18"/>
                <w:lang w:val="en-US" w:eastAsia="zh-CN"/>
              </w:rPr>
              <w:t>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rPr>
          <w:rFonts w:hint="default" w:ascii="Arial" w:hAnsi="Arial" w:cs="Times New Roman" w:eastAsiaTheme="minorEastAsia"/>
          <w:color w:val="FF0000"/>
          <w:sz w:val="32"/>
          <w:lang w:val="en-US" w:eastAsia="zh-CN" w:bidi="ar-SA"/>
        </w:rPr>
      </w:pP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===================Start of 2</w:t>
      </w:r>
      <w:r>
        <w:rPr>
          <w:rFonts w:hint="eastAsia"/>
          <w:color w:val="FF0000"/>
          <w:vertAlign w:val="superscript"/>
          <w:lang w:eastAsia="zh-CN"/>
        </w:rPr>
        <w:t>nd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pPr>
        <w:pStyle w:val="4"/>
        <w:rPr>
          <w:lang w:eastAsia="zh-CN"/>
        </w:rPr>
      </w:pPr>
      <w:bookmarkStart w:id="13" w:name="_Toc37251498"/>
      <w:bookmarkStart w:id="14" w:name="_Toc45889004"/>
      <w:bookmarkStart w:id="15" w:name="_Toc84405348"/>
      <w:bookmarkStart w:id="16" w:name="_Toc61373105"/>
      <w:bookmarkStart w:id="17" w:name="_Toc75467480"/>
      <w:bookmarkStart w:id="18" w:name="_Toc29802357"/>
      <w:bookmarkStart w:id="19" w:name="_Toc21344445"/>
      <w:bookmarkStart w:id="20" w:name="_Toc76718492"/>
      <w:bookmarkStart w:id="21" w:name="_Toc76509502"/>
      <w:bookmarkStart w:id="22" w:name="_Toc68231055"/>
      <w:bookmarkStart w:id="23" w:name="_Toc84413957"/>
      <w:bookmarkStart w:id="24" w:name="_Toc69084468"/>
      <w:bookmarkStart w:id="25" w:name="_Toc83580839"/>
      <w:bookmarkStart w:id="26" w:name="_Toc36107724"/>
      <w:bookmarkStart w:id="27" w:name="_Toc29802982"/>
      <w:bookmarkStart w:id="28" w:name="_Toc45888405"/>
      <w:bookmarkStart w:id="29" w:name="_Toc61367722"/>
      <w:bookmarkStart w:id="30" w:name="_Toc29801933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宋体"/>
          <w:lang w:val="en-US" w:eastAsia="zh-CN"/>
        </w:rPr>
      </w:pPr>
      <w:r>
        <w:rPr>
          <w:lang w:val="en-US"/>
        </w:rPr>
        <w:t>Sensitivity degradation is allowed for different combinations of UL configurations and DL channel bandwidths</w:t>
      </w:r>
      <w:r>
        <w:rPr>
          <w:rFonts w:hint="eastAsia" w:eastAsia="宋体"/>
          <w:lang w:val="en-US" w:eastAsia="zh-CN"/>
        </w:rPr>
        <w:t xml:space="preserve"> if </w:t>
      </w:r>
      <w:r>
        <w:rPr>
          <w:lang w:val="en-US"/>
        </w:rPr>
        <w:t>a band in frequency range 1 is impacted by UL harmonic interference from another band</w:t>
      </w:r>
      <w:r>
        <w:rPr>
          <w:rFonts w:eastAsia="宋体"/>
          <w:lang w:val="en-US" w:eastAsia="zh-CN"/>
        </w:rPr>
        <w:t xml:space="preserve"> which belongs to NR band</w:t>
      </w:r>
      <w:r>
        <w:rPr>
          <w:lang w:val="en-US"/>
        </w:rPr>
        <w:t xml:space="preserve"> in frequency range 1 of the same </w:t>
      </w:r>
      <w:r>
        <w:t xml:space="preserve">downlink </w:t>
      </w:r>
      <w:r>
        <w:rPr>
          <w:lang w:val="en-US"/>
        </w:rPr>
        <w:t>CA configuration. Reference sensitivity exceptions and uplink/downlink configurations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due to UL harmonic </w:t>
      </w:r>
      <w:r>
        <w:rPr>
          <w:rFonts w:eastAsia="宋体"/>
          <w:lang w:val="en-US" w:eastAsia="zh-CN"/>
        </w:rPr>
        <w:t xml:space="preserve">from a PC3 aggressor NR UL band for either </w:t>
      </w:r>
      <w:r>
        <w:rPr>
          <w:rFonts w:eastAsia="宋体"/>
          <w:lang w:eastAsia="zh-CN"/>
        </w:rPr>
        <w:t xml:space="preserve">single band uplink or </w:t>
      </w:r>
      <w:r>
        <w:rPr>
          <w:rFonts w:eastAsia="宋体"/>
          <w:lang w:val="en-US" w:eastAsia="zh-CN"/>
        </w:rPr>
        <w:t xml:space="preserve">PC3 or PC2 CA </w:t>
      </w:r>
      <w:r>
        <w:rPr>
          <w:lang w:val="en-US"/>
        </w:rPr>
        <w:t>are specified in Table 7.3A.4-1.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For these exceptions, only the listed test points in Table 7.3A.4-1 are needed to be tested.</w:t>
      </w: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jc w:val="center"/>
        <w:rPr>
          <w:ins w:id="10" w:author="China Unicom" w:date="2022-11-06T19:23:28Z"/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pPrChange w:id="9" w:author="China Unicom" w:date="2022-11-06T19:23:24Z">
          <w:pPr/>
        </w:pPrChange>
      </w:pPr>
      <w:r>
        <w:rPr>
          <w:rFonts w:hint="default" w:ascii="Arial" w:hAnsi="Arial" w:cs="Arial"/>
          <w:b/>
          <w:bCs/>
          <w:sz w:val="20"/>
          <w:szCs w:val="20"/>
        </w:rPr>
        <w:t>Table 7.3A.</w:t>
      </w:r>
      <w:r>
        <w:rPr>
          <w:rFonts w:hint="default" w:ascii="Arial" w:hAnsi="Arial" w:eastAsia="宋体" w:cs="Arial"/>
          <w:b/>
          <w:bCs/>
          <w:sz w:val="20"/>
          <w:szCs w:val="20"/>
          <w:lang w:eastAsia="zh-CN"/>
        </w:rPr>
        <w:t>4</w:t>
      </w:r>
      <w:r>
        <w:rPr>
          <w:rFonts w:hint="default" w:ascii="Arial" w:hAnsi="Arial" w:cs="Arial"/>
          <w:b/>
          <w:bCs/>
          <w:sz w:val="20"/>
          <w:szCs w:val="20"/>
        </w:rPr>
        <w:t>-2</w:t>
      </w:r>
      <w:ins w:id="11" w:author="China Unicom" w:date="2022-11-07T15:03:00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>a</w:t>
        </w:r>
      </w:ins>
      <w:r>
        <w:rPr>
          <w:rFonts w:hint="default" w:ascii="Arial" w:hAnsi="Arial" w:cs="Arial"/>
          <w:b/>
          <w:bCs/>
          <w:sz w:val="20"/>
          <w:szCs w:val="20"/>
        </w:rPr>
        <w:t xml:space="preserve">: </w:t>
      </w:r>
      <w:ins w:id="12" w:author="China Unicom" w:date="2022-11-06T19:23:15Z">
        <w:r>
          <w:rPr>
            <w:rFonts w:hint="default" w:ascii="Arial" w:hAnsi="Arial" w:cs="Arial"/>
            <w:b/>
            <w:bCs/>
            <w:sz w:val="20"/>
            <w:szCs w:val="20"/>
          </w:rPr>
          <w:t>Reference sensitivity exceptions and uplink/downlink configurations due to UL harmonic from a PC2 aggressor NR UL band for NR DL CA FR1</w:t>
        </w:r>
      </w:ins>
      <w:ins w:id="13" w:author="China Unicom" w:date="2022-11-07T15:03:21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 </w:t>
        </w:r>
      </w:ins>
      <w:ins w:id="14" w:author="China Unicom" w:date="2022-11-07T15:03:25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>for UE not supporting Tx Diversity</w:t>
        </w:r>
      </w:ins>
      <w:bookmarkStart w:id="31" w:name="_GoBack"/>
      <w:bookmarkEnd w:id="31"/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57"/>
        <w:gridCol w:w="1044"/>
        <w:gridCol w:w="1719"/>
        <w:gridCol w:w="857"/>
        <w:gridCol w:w="722"/>
        <w:gridCol w:w="143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15" w:author="China Unicom" w:date="2022-11-06T19:23:37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1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1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18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19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0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21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2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4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25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2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28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29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30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1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32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34" w:author="China Unicom" w:date="2022-11-06T19:23:37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35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3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7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38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39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0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1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2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</w:ins>
            <w:ins w:id="4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4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5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4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48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49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50" w:author="China Unicom" w:date="2022-11-06T19:23:37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1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52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53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4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55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56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57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9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1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3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64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65" w:author="China Unicom" w:date="2022-11-06T19:23:3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6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67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7.1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68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9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0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1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7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74" w:author="China Unicom" w:date="2022-11-06T19:23:37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5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76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77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8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79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80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81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3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4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85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87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88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89" w:author="China Unicom" w:date="2022-11-06T19:23:37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9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</w:t>
              </w:r>
            </w:ins>
            <w:ins w:id="91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6.6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9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94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96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7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8" w:author="China Unicom" w:date="2022-11-06T19:23:37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ins w:id="99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>NOTE 2:</w:t>
              </w:r>
            </w:ins>
            <w:ins w:id="101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ins>
            <w:ins w:id="102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The requirements should be verified for UL NR-ARFCN of the aggressor (high) band (superscript HB) such that </w:t>
              </w:r>
            </w:ins>
            <w:ins w:id="103" w:author="China Unicom" w:date="2022-11-06T19:23:37Z"/>
            <w:ins w:id="104" w:author="China Unicom" w:date="2022-11-06T19:23:37Z"/>
            <w:ins w:id="105" w:author="China Unicom" w:date="2022-11-06T19:23:37Z"/>
            <w:ins w:id="106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5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108" w:author="China Unicom" w:date="2022-11-06T19:23:37Z"/>
            <w:ins w:id="109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in MHz and </w:t>
              </w:r>
            </w:ins>
            <w:ins w:id="110" w:author="China Unicom" w:date="2022-11-06T19:23:37Z"/>
            <w:ins w:id="111" w:author="China Unicom" w:date="2022-11-06T19:23:37Z"/>
            <w:ins w:id="112" w:author="China Unicom" w:date="2022-11-06T19:23:37Z"/>
            <w:ins w:id="113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6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ins>
            <w:ins w:id="115" w:author="China Unicom" w:date="2022-11-06T19:23:37Z"/>
            <w:ins w:id="116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with</w:t>
              </w:r>
            </w:ins>
            <w:ins w:id="117" w:author="China Unicom" w:date="2022-11-06T19:23:37Z"/>
            <w:ins w:id="118" w:author="China Unicom" w:date="2022-11-06T19:23:37Z"/>
            <w:ins w:id="119" w:author="China Unicom" w:date="2022-11-06T19:23:37Z"/>
            <w:ins w:id="12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7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122" w:author="China Unicom" w:date="2022-11-06T19:23:37Z"/>
            <w:ins w:id="123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carrier frequency in the victim (lower) band in MHz and </w:t>
              </w:r>
            </w:ins>
            <w:ins w:id="124" w:author="China Unicom" w:date="2022-11-06T19:23:37Z"/>
            <w:ins w:id="125" w:author="China Unicom" w:date="2022-11-06T19:23:37Z"/>
            <w:ins w:id="126" w:author="China Unicom" w:date="2022-11-06T19:23:37Z"/>
            <w:ins w:id="127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8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5">
                    <o:LockedField>false</o:LockedField>
                  </o:OLEObject>
                </w:object>
              </w:r>
            </w:ins>
            <w:ins w:id="129" w:author="China Unicom" w:date="2022-11-06T19:23:37Z"/>
            <w:ins w:id="13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the channel bandwidth configured in the higher band.</w:t>
              </w:r>
            </w:ins>
          </w:p>
        </w:tc>
      </w:tr>
    </w:tbl>
    <w:p>
      <w:pPr>
        <w:jc w:val="center"/>
        <w:rPr>
          <w:rFonts w:hint="default" w:ascii="Arial" w:hAnsi="Arial" w:cs="Arial" w:eastAsiaTheme="minorEastAsia"/>
          <w:b/>
          <w:bCs/>
          <w:color w:val="FF0000"/>
          <w:sz w:val="20"/>
          <w:szCs w:val="20"/>
          <w:lang w:val="en-GB" w:eastAsia="zh-CN" w:bidi="ar-SA"/>
        </w:rPr>
        <w:pPrChange w:id="131" w:author="China Unicom" w:date="2022-11-06T19:23:24Z">
          <w:pPr/>
        </w:pPrChange>
      </w:pPr>
      <w:del w:id="132" w:author="China Unicom" w:date="2022-11-06T19:23:01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delText>Vo</w:delText>
        </w:r>
      </w:del>
      <w:del w:id="133" w:author="China Unicom" w:date="2022-11-06T19:23:00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delText>id</w:delText>
        </w:r>
      </w:del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====================End of 2nd changes================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B9359A"/>
    <w:rsid w:val="05613043"/>
    <w:rsid w:val="0D3A05F9"/>
    <w:rsid w:val="0D9227E1"/>
    <w:rsid w:val="16F16188"/>
    <w:rsid w:val="17C86558"/>
    <w:rsid w:val="24B23EBF"/>
    <w:rsid w:val="24DE0B3D"/>
    <w:rsid w:val="286D07E3"/>
    <w:rsid w:val="2E4657AD"/>
    <w:rsid w:val="2F13739C"/>
    <w:rsid w:val="4A722AB5"/>
    <w:rsid w:val="4B5213D5"/>
    <w:rsid w:val="5A943DD1"/>
    <w:rsid w:val="6B6E46DB"/>
    <w:rsid w:val="700233CF"/>
    <w:rsid w:val="74754347"/>
    <w:rsid w:val="7990490A"/>
    <w:rsid w:val="7DAD3A8C"/>
    <w:rsid w:val="7EA75857"/>
    <w:rsid w:val="7EF1779D"/>
    <w:rsid w:val="7FB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2022-11-07T07:04:02Z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3D85D7D4B2F148BD9DCA2256D5943B16</vt:lpwstr>
  </property>
</Properties>
</file>